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969DA"/>
          <w:sz w:val="22"/>
        </w:rPr>
        <w:t>URBAN GEEKS LLC</w:t>
      </w:r>
    </w:p>
    <w:p>
      <w:pPr>
        <w:pStyle w:val="Title"/>
        <w:jc w:val="center"/>
      </w:pPr>
      <w:r>
        <w:t>CONTRACTOR QUALIFICATION STANDARDS</w:t>
      </w:r>
    </w:p>
    <w:p>
      <w:pPr>
        <w:jc w:val="center"/>
      </w:pPr>
      <w:r>
        <w:rPr>
          <w:i/>
          <w:color w:val="5B6573"/>
          <w:sz w:val="18"/>
        </w:rPr>
        <w:t>Network admission, monitoring and removal standards</w:t>
      </w:r>
    </w:p>
    <w:tbl>
      <w:tblPr>
        <w:tblW w:type="auto" w:w="0"/>
        <w:jc w:val="center"/>
        <w:tblLook w:firstColumn="1" w:firstRow="1" w:lastColumn="0" w:lastRow="0" w:noHBand="0" w:noVBand="1" w:val="04A0"/>
      </w:tblPr>
      <w:tblGrid>
        <w:gridCol w:w="10368"/>
      </w:tblGrid>
      <w:tr>
        <w:tc>
          <w:tcPr>
            <w:tcW w:type="dxa" w:w="10368"/>
            <w:shd w:fill="EAF3FF"/>
          </w:tcPr>
          <w:p>
            <w:pPr>
              <w:spacing w:after="0"/>
            </w:pPr>
            <w:r>
              <w:rPr>
                <w:b/>
                <w:sz w:val="18"/>
              </w:rPr>
              <w:t>OPERATING POLICY - Draft for business use. Have Arizona counsel review before relying on it as a legal compliance document.</w:t>
            </w:r>
          </w:p>
        </w:tc>
      </w:tr>
    </w:tbl>
    <w:p>
      <w:pPr>
        <w:pStyle w:val="Heading1"/>
      </w:pPr>
      <w:r>
        <w:t>1. Purpose</w:t>
      </w:r>
    </w:p>
    <w:p>
      <w:pPr>
        <w:spacing w:after="80"/>
      </w:pPr>
      <w:r>
        <w:t>Urban Geeks helps homeowners reduce the uncertainty of finding a contractor. Participation in the Urban Geeks network is not automatic. Contractors must meet these standards to join and remain in the network. Urban Geeks may verify information, request updated documentation, review performance information, suspend referrals, or remove a contractor when network requirements are not met.</w:t>
      </w:r>
    </w:p>
    <w:p>
      <w:pPr>
        <w:pStyle w:val="Heading1"/>
      </w:pPr>
      <w:r>
        <w:t>2. Minimum Admission Requirements</w:t>
      </w:r>
    </w:p>
    <w:p>
      <w:pPr>
        <w:pStyle w:val="ListBullet"/>
        <w:spacing w:after="30"/>
      </w:pPr>
      <w:r>
        <w:t>Active contractor license appropriate for the type of work offered, when a license is required by applicable law.</w:t>
      </w:r>
    </w:p>
    <w:p>
      <w:pPr>
        <w:pStyle w:val="ListBullet"/>
        <w:spacing w:after="30"/>
      </w:pPr>
      <w:r>
        <w:t>Business name, owner/contact information and license identity must match or be reasonably verifiable.</w:t>
      </w:r>
    </w:p>
    <w:p>
      <w:pPr>
        <w:pStyle w:val="ListBullet"/>
        <w:spacing w:after="30"/>
      </w:pPr>
      <w:r>
        <w:t>Required contractor bond must be active where applicable. Contractor must provide evidence of commercial general liability insurance if required by Urban Geeks policy or the applicable project category.</w:t>
      </w:r>
    </w:p>
    <w:p>
      <w:pPr>
        <w:pStyle w:val="ListBullet"/>
        <w:spacing w:after="30"/>
      </w:pPr>
      <w:r>
        <w:t>No material misrepresentation concerning licensing, insurance, bonding, qualifications, pricing, project history or business identity.</w:t>
      </w:r>
    </w:p>
    <w:p>
      <w:pPr>
        <w:pStyle w:val="ListBullet"/>
        <w:spacing w:after="30"/>
      </w:pPr>
      <w:r>
        <w:t>Professional contact information and a reliable method for responding to homeowner inquiries.</w:t>
      </w:r>
    </w:p>
    <w:p>
      <w:pPr>
        <w:pStyle w:val="ListBullet"/>
        <w:spacing w:after="30"/>
      </w:pPr>
      <w:r>
        <w:t>Agreement to provide homeowners with a written contract or estimate that clearly describes scope, pricing, payment terms, permits and change-order procedures as applicable.</w:t>
      </w:r>
    </w:p>
    <w:p>
      <w:pPr>
        <w:pStyle w:val="ListBullet"/>
        <w:spacing w:after="30"/>
      </w:pPr>
      <w:r>
        <w:t>Agreement to comply with applicable federal, state and local laws, licensing rules, building codes, permit requirements and consumer-protection requirements.</w:t>
      </w:r>
    </w:p>
    <w:p>
      <w:pPr>
        <w:pStyle w:val="ListBullet"/>
        <w:spacing w:after="30"/>
      </w:pPr>
      <w:r>
        <w:t>Acceptance of the Urban Geeks Contractor Network Agreement and these participation standards.</w:t>
      </w:r>
    </w:p>
    <w:p>
      <w:pPr>
        <w:pStyle w:val="Heading1"/>
      </w:pPr>
      <w:r>
        <w:t>3. Screening Review</w:t>
      </w:r>
    </w:p>
    <w:p>
      <w:pPr>
        <w:spacing w:after="80"/>
      </w:pPr>
      <w:r>
        <w:t>Before activation, Urban Geeks may review publicly available licensing and disciplinary information, contractor-supplied documentation, references, customer feedback and other information reasonably related to network quality. Screening is a participation decision, not a guarantee of future performance.</w:t>
      </w:r>
    </w:p>
    <w:p>
      <w:pPr>
        <w:pStyle w:val="Heading1"/>
      </w:pPr>
      <w:r>
        <w:t>4. Ongoing Performance Standards</w:t>
      </w:r>
    </w:p>
    <w:p>
      <w:pPr>
        <w:pStyle w:val="ListBullet"/>
        <w:spacing w:after="30"/>
      </w:pPr>
      <w:r>
        <w:t>Maintain all required licenses, bonds and requested insurance documentation in current status.</w:t>
      </w:r>
    </w:p>
    <w:p>
      <w:pPr>
        <w:pStyle w:val="ListBullet"/>
        <w:spacing w:after="30"/>
      </w:pPr>
      <w:r>
        <w:t>Communicate with referred homeowners professionally and within a reasonable time.</w:t>
      </w:r>
    </w:p>
    <w:p>
      <w:pPr>
        <w:pStyle w:val="ListBullet"/>
        <w:spacing w:after="30"/>
      </w:pPr>
      <w:r>
        <w:t>Do not pressure homeowners into immediate payment or misrepresent urgency, credentials or availability.</w:t>
      </w:r>
    </w:p>
    <w:p>
      <w:pPr>
        <w:pStyle w:val="ListBullet"/>
        <w:spacing w:after="30"/>
      </w:pPr>
      <w:r>
        <w:t>Use written scopes, pricing, payment schedules and change orders for material project changes.</w:t>
      </w:r>
    </w:p>
    <w:p>
      <w:pPr>
        <w:pStyle w:val="ListBullet"/>
        <w:spacing w:after="30"/>
      </w:pPr>
      <w:r>
        <w:t>Perform work in a professional manner consistent with the contractor’s agreement with the homeowner and applicable standards.</w:t>
      </w:r>
    </w:p>
    <w:p>
      <w:pPr>
        <w:pStyle w:val="ListBullet"/>
        <w:spacing w:after="30"/>
      </w:pPr>
      <w:r>
        <w:t>Promptly disclose to Urban Geeks any license suspension, revocation, material disciplinary action, lapse in required bond/insurance, or other event that could affect eligibility.</w:t>
      </w:r>
    </w:p>
    <w:p>
      <w:pPr>
        <w:pStyle w:val="ListBullet"/>
        <w:spacing w:after="30"/>
      </w:pPr>
      <w:r>
        <w:t>Cooperate with reasonable Urban Geeks requests concerning a customer complaint, while preserving the contractor’s right to respond.</w:t>
      </w:r>
    </w:p>
    <w:p>
      <w:pPr>
        <w:pStyle w:val="Heading1"/>
      </w:pPr>
      <w:r>
        <w:t>5. Customer Feedback &amp; Review Thresholds</w:t>
      </w:r>
    </w:p>
    <w:p>
      <w:pPr>
        <w:spacing w:after="80"/>
      </w:pPr>
      <w:r>
        <w:t>Urban Geeks may use a combination of documented complaints, response history, customer feedback, public licensing information and repeated service issues to determine continued participation. Urban Geeks should avoid relying on a single unverified allegation when practical and may request information from both sides before making a network decision.</w:t>
      </w:r>
    </w:p>
    <w:p>
      <w:pPr>
        <w:spacing w:after="80"/>
      </w:pPr>
      <w:r>
        <w:t>Recommended internal trigger: a contractor may be placed under review when there is a pattern of substantiated complaints, repeated failure to communicate, material license/bond/insurance problems, or a material decline below Urban Geeks’ published performance threshold. The exact numeric threshold should be maintained in an internal policy and applied consistently.</w:t>
      </w:r>
    </w:p>
    <w:p>
      <w:pPr>
        <w:pStyle w:val="Heading1"/>
      </w:pPr>
      <w:r>
        <w:t>6. Immediate Suspension Triggers</w:t>
      </w:r>
    </w:p>
    <w:p>
      <w:pPr>
        <w:pStyle w:val="ListBullet"/>
        <w:spacing w:after="30"/>
      </w:pPr>
      <w:r>
        <w:t>License is suspended, revoked, expired or not appropriate for the represented work.</w:t>
      </w:r>
    </w:p>
    <w:p>
      <w:pPr>
        <w:pStyle w:val="ListBullet"/>
        <w:spacing w:after="30"/>
      </w:pPr>
      <w:r>
        <w:t>Required bond or required insurance is no longer active.</w:t>
      </w:r>
    </w:p>
    <w:p>
      <w:pPr>
        <w:pStyle w:val="ListBullet"/>
        <w:spacing w:after="30"/>
      </w:pPr>
      <w:r>
        <w:t>Credible evidence of fraud, theft, falsified credentials, threats, discrimination, unsafe conduct or other serious misconduct.</w:t>
      </w:r>
    </w:p>
    <w:p>
      <w:pPr>
        <w:pStyle w:val="ListBullet"/>
        <w:spacing w:after="30"/>
      </w:pPr>
      <w:r>
        <w:t>Material misrepresentation to Urban Geeks or a homeowner.</w:t>
      </w:r>
    </w:p>
    <w:p>
      <w:pPr>
        <w:pStyle w:val="ListBullet"/>
        <w:spacing w:after="30"/>
      </w:pPr>
      <w:r>
        <w:t>Refusal to cooperate with a reasonable credential-verification request.</w:t>
      </w:r>
    </w:p>
    <w:p>
      <w:pPr>
        <w:pStyle w:val="Heading1"/>
      </w:pPr>
      <w:r>
        <w:t>7. Removal &amp; Reinstatement</w:t>
      </w:r>
    </w:p>
    <w:p>
      <w:pPr>
        <w:spacing w:after="80"/>
      </w:pPr>
      <w:r>
        <w:t>Urban Geeks may suspend or remove a contractor from the network when participation standards are not met. Removal is a platform/network decision and is not a legal finding of liability. Urban Geeks may allow reconsideration after the contractor provides evidence that the underlying issue has been resolved, but reinstatement is not guaranteed.</w:t>
      </w:r>
    </w:p>
    <w:p>
      <w:pPr>
        <w:pStyle w:val="Heading1"/>
      </w:pPr>
      <w:r>
        <w:t>8. What Urban Geeks Does Not Promise</w:t>
      </w:r>
    </w:p>
    <w:p>
      <w:pPr>
        <w:pStyle w:val="ListBullet"/>
        <w:spacing w:after="30"/>
      </w:pPr>
      <w:r>
        <w:t>Urban Geeks does not guarantee workmanship, project completion, pricing, schedules or contractor performance.</w:t>
      </w:r>
    </w:p>
    <w:p>
      <w:pPr>
        <w:pStyle w:val="ListBullet"/>
        <w:spacing w:after="30"/>
      </w:pPr>
      <w:r>
        <w:t>Urban Geeks does not become a party to the homeowner-contractor construction contract solely by making an introduction.</w:t>
      </w:r>
    </w:p>
    <w:p>
      <w:pPr>
        <w:pStyle w:val="ListBullet"/>
        <w:spacing w:after="30"/>
      </w:pPr>
      <w:r>
        <w:t>Urban Geeks screening reflects information available at the time reviewed and does not eliminate all project risk.</w:t>
      </w:r>
    </w:p>
    <w:p>
      <w:pPr>
        <w:pStyle w:val="ListBullet"/>
        <w:spacing w:after="30"/>
      </w:pPr>
      <w:r>
        <w:t>Homeowners remain responsible for reviewing and signing their own project contract and making their own hiring decision.</w:t>
      </w:r>
    </w:p>
    <w:p>
      <w:pPr>
        <w:pStyle w:val="Heading1"/>
      </w:pPr>
      <w:r>
        <w:t>9. Internal Verification Record</w:t>
      </w:r>
    </w:p>
    <w:tbl>
      <w:tblPr>
        <w:tblW w:type="auto" w:w="0"/>
        <w:jc w:val="center"/>
        <w:tblLook w:firstColumn="1" w:firstRow="1" w:lastColumn="0" w:lastRow="0" w:noHBand="0" w:noVBand="1" w:val="04A0"/>
      </w:tblPr>
      <w:tblGrid>
        <w:gridCol w:w="2592"/>
        <w:gridCol w:w="2592"/>
        <w:gridCol w:w="2592"/>
        <w:gridCol w:w="2592"/>
      </w:tblGrid>
      <w:tr>
        <w:tc>
          <w:tcPr>
            <w:tcW w:type="dxa" w:w="2592"/>
            <w:shd w:fill="0B1F3A"/>
          </w:tcPr>
          <w:p>
            <w:r>
              <w:rPr>
                <w:b/>
                <w:color w:val="FFFFFF"/>
              </w:rPr>
              <w:t>Item</w:t>
            </w:r>
          </w:p>
        </w:tc>
        <w:tc>
          <w:tcPr>
            <w:tcW w:type="dxa" w:w="2592"/>
            <w:shd w:fill="0B1F3A"/>
          </w:tcPr>
          <w:p>
            <w:r>
              <w:rPr>
                <w:b/>
                <w:color w:val="FFFFFF"/>
              </w:rPr>
              <w:t>Verified</w:t>
            </w:r>
          </w:p>
        </w:tc>
        <w:tc>
          <w:tcPr>
            <w:tcW w:type="dxa" w:w="2592"/>
            <w:shd w:fill="0B1F3A"/>
          </w:tcPr>
          <w:p>
            <w:r>
              <w:rPr>
                <w:b/>
                <w:color w:val="FFFFFF"/>
              </w:rPr>
              <w:t>Date</w:t>
            </w:r>
          </w:p>
        </w:tc>
        <w:tc>
          <w:tcPr>
            <w:tcW w:type="dxa" w:w="2592"/>
            <w:shd w:fill="0B1F3A"/>
          </w:tcPr>
          <w:p>
            <w:r>
              <w:rPr>
                <w:b/>
                <w:color w:val="FFFFFF"/>
              </w:rPr>
              <w:t>Notes</w:t>
            </w:r>
          </w:p>
        </w:tc>
      </w:tr>
      <w:tr>
        <w:tc>
          <w:tcPr>
            <w:tcW w:type="dxa" w:w="2592"/>
          </w:tcPr>
          <w:p>
            <w:r>
              <w:t>License/classification</w:t>
            </w:r>
          </w:p>
        </w:tc>
        <w:tc>
          <w:tcPr>
            <w:tcW w:type="dxa" w:w="2592"/>
          </w:tcPr>
          <w:p>
            <w:r>
              <w:t>☐</w:t>
            </w:r>
          </w:p>
        </w:tc>
        <w:tc>
          <w:tcPr>
            <w:tcW w:type="dxa" w:w="2592"/>
          </w:tcPr>
          <w:p>
            <w:r/>
          </w:p>
        </w:tc>
        <w:tc>
          <w:tcPr>
            <w:tcW w:type="dxa" w:w="2592"/>
          </w:tcPr>
          <w:p>
            <w:r/>
          </w:p>
        </w:tc>
      </w:tr>
      <w:tr>
        <w:tc>
          <w:tcPr>
            <w:tcW w:type="dxa" w:w="2592"/>
          </w:tcPr>
          <w:p>
            <w:r>
              <w:t>Bond status</w:t>
            </w:r>
          </w:p>
        </w:tc>
        <w:tc>
          <w:tcPr>
            <w:tcW w:type="dxa" w:w="2592"/>
          </w:tcPr>
          <w:p>
            <w:r>
              <w:t>☐</w:t>
            </w:r>
          </w:p>
        </w:tc>
        <w:tc>
          <w:tcPr>
            <w:tcW w:type="dxa" w:w="2592"/>
          </w:tcPr>
          <w:p>
            <w:r/>
          </w:p>
        </w:tc>
        <w:tc>
          <w:tcPr>
            <w:tcW w:type="dxa" w:w="2592"/>
          </w:tcPr>
          <w:p>
            <w:r/>
          </w:p>
        </w:tc>
      </w:tr>
      <w:tr>
        <w:tc>
          <w:tcPr>
            <w:tcW w:type="dxa" w:w="2592"/>
          </w:tcPr>
          <w:p>
            <w:r>
              <w:t>Insurance</w:t>
            </w:r>
          </w:p>
        </w:tc>
        <w:tc>
          <w:tcPr>
            <w:tcW w:type="dxa" w:w="2592"/>
          </w:tcPr>
          <w:p>
            <w:r>
              <w:t>☐</w:t>
            </w:r>
          </w:p>
        </w:tc>
        <w:tc>
          <w:tcPr>
            <w:tcW w:type="dxa" w:w="2592"/>
          </w:tcPr>
          <w:p>
            <w:r/>
          </w:p>
        </w:tc>
        <w:tc>
          <w:tcPr>
            <w:tcW w:type="dxa" w:w="2592"/>
          </w:tcPr>
          <w:p>
            <w:r/>
          </w:p>
        </w:tc>
      </w:tr>
      <w:tr>
        <w:tc>
          <w:tcPr>
            <w:tcW w:type="dxa" w:w="2592"/>
          </w:tcPr>
          <w:p>
            <w:r>
              <w:t>Business identity</w:t>
            </w:r>
          </w:p>
        </w:tc>
        <w:tc>
          <w:tcPr>
            <w:tcW w:type="dxa" w:w="2592"/>
          </w:tcPr>
          <w:p>
            <w:r>
              <w:t>☐</w:t>
            </w:r>
          </w:p>
        </w:tc>
        <w:tc>
          <w:tcPr>
            <w:tcW w:type="dxa" w:w="2592"/>
          </w:tcPr>
          <w:p>
            <w:r/>
          </w:p>
        </w:tc>
        <w:tc>
          <w:tcPr>
            <w:tcW w:type="dxa" w:w="2592"/>
          </w:tcPr>
          <w:p>
            <w:r/>
          </w:p>
        </w:tc>
      </w:tr>
      <w:tr>
        <w:tc>
          <w:tcPr>
            <w:tcW w:type="dxa" w:w="2592"/>
          </w:tcPr>
          <w:p>
            <w:r>
              <w:t>Public complaint/discipline review</w:t>
            </w:r>
          </w:p>
        </w:tc>
        <w:tc>
          <w:tcPr>
            <w:tcW w:type="dxa" w:w="2592"/>
          </w:tcPr>
          <w:p>
            <w:r>
              <w:t>☐</w:t>
            </w:r>
          </w:p>
        </w:tc>
        <w:tc>
          <w:tcPr>
            <w:tcW w:type="dxa" w:w="2592"/>
          </w:tcPr>
          <w:p>
            <w:r/>
          </w:p>
        </w:tc>
        <w:tc>
          <w:tcPr>
            <w:tcW w:type="dxa" w:w="2592"/>
          </w:tcPr>
          <w:p>
            <w:r/>
          </w:p>
        </w:tc>
      </w:tr>
      <w:tr>
        <w:tc>
          <w:tcPr>
            <w:tcW w:type="dxa" w:w="2592"/>
          </w:tcPr>
          <w:p>
            <w:r>
              <w:t>Agreement signed</w:t>
            </w:r>
          </w:p>
        </w:tc>
        <w:tc>
          <w:tcPr>
            <w:tcW w:type="dxa" w:w="2592"/>
          </w:tcPr>
          <w:p>
            <w:r>
              <w:t>☐</w:t>
            </w:r>
          </w:p>
        </w:tc>
        <w:tc>
          <w:tcPr>
            <w:tcW w:type="dxa" w:w="2592"/>
          </w:tcPr>
          <w:p>
            <w:r/>
          </w:p>
        </w:tc>
        <w:tc>
          <w:tcPr>
            <w:tcW w:type="dxa" w:w="2592"/>
          </w:tcPr>
          <w:p>
            <w:r/>
          </w:p>
        </w:tc>
      </w:tr>
      <w:tr>
        <w:tc>
          <w:tcPr>
            <w:tcW w:type="dxa" w:w="2592"/>
          </w:tcPr>
          <w:p>
            <w:r>
              <w:t>References/feedback</w:t>
            </w:r>
          </w:p>
        </w:tc>
        <w:tc>
          <w:tcPr>
            <w:tcW w:type="dxa" w:w="2592"/>
          </w:tcPr>
          <w:p>
            <w:r>
              <w:t>☐</w:t>
            </w:r>
          </w:p>
        </w:tc>
        <w:tc>
          <w:tcPr>
            <w:tcW w:type="dxa" w:w="2592"/>
          </w:tcPr>
          <w:p>
            <w:r/>
          </w:p>
        </w:tc>
        <w:tc>
          <w:tcPr>
            <w:tcW w:type="dxa" w:w="2592"/>
          </w:tcPr>
          <w:p>
            <w:r/>
          </w:p>
        </w:tc>
      </w:tr>
      <w:tr>
        <w:tc>
          <w:tcPr>
            <w:tcW w:type="dxa" w:w="2592"/>
          </w:tcPr>
          <w:p>
            <w:r>
              <w:t>Annual re-check</w:t>
            </w:r>
          </w:p>
        </w:tc>
        <w:tc>
          <w:tcPr>
            <w:tcW w:type="dxa" w:w="2592"/>
          </w:tcPr>
          <w:p>
            <w:r>
              <w:t>☐</w:t>
            </w:r>
          </w:p>
        </w:tc>
        <w:tc>
          <w:tcPr>
            <w:tcW w:type="dxa" w:w="2592"/>
          </w:tcPr>
          <w:p>
            <w:r/>
          </w:p>
        </w:tc>
        <w:tc>
          <w:tcPr>
            <w:tcW w:type="dxa" w:w="2592"/>
          </w:tcPr>
          <w:p>
            <w:r/>
          </w:p>
        </w:tc>
      </w:tr>
    </w:tbl>
    <w:p>
      <w:pPr>
        <w:pStyle w:val="Heading1"/>
      </w:pPr>
      <w:r>
        <w:t>Arizona Reference Sources</w:t>
      </w:r>
    </w:p>
    <w:p>
      <w:pPr>
        <w:spacing w:after="80"/>
      </w:pPr>
      <w:r>
        <w:t>These public sources informed the Arizona-specific consumer-protection and marketplace language in this draft:</w:t>
      </w:r>
    </w:p>
    <w:p>
      <w:pPr>
        <w:pStyle w:val="ListBullet"/>
        <w:spacing w:after="30"/>
      </w:pPr>
      <w:r>
        <w:t>Arizona Registrar of Contractors - Before You Hire a Contractor: https://roc.az.gov/before-hire</w:t>
      </w:r>
    </w:p>
    <w:p>
      <w:pPr>
        <w:pStyle w:val="ListBullet"/>
        <w:spacing w:after="30"/>
      </w:pPr>
      <w:r>
        <w:t>Arizona Registrar of Contractors - Recovery Fund: https://roc.az.gov/recovery-fund</w:t>
      </w:r>
    </w:p>
    <w:p>
      <w:pPr>
        <w:pStyle w:val="ListBullet"/>
        <w:spacing w:after="30"/>
      </w:pPr>
      <w:r>
        <w:t>Arizona Registrar of Contractors - Complaint Process: https://roc.az.gov/complaint-process-investigation</w:t>
      </w:r>
    </w:p>
    <w:p>
      <w:pPr>
        <w:pStyle w:val="ListBullet"/>
        <w:spacing w:after="30"/>
      </w:pPr>
      <w:r>
        <w:t>Arizona Revised Statutes § 23-1603 - Qualified marketplace contractors: https://www.azleg.gov/ars/23/01603.htm</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573"/>
        <w:sz w:val="16"/>
      </w:rPr>
      <w:t>Urban Geeks LLC  |  urbangeeksllc.com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B1F3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969D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B1F3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B1F3A"/>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